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From a legal standpoint, we must always, in public postings and on website have the following information visible: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Registraire des entreprises Formal Name: 9500-5609 Quebec Inc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* Exceptions are made for online advertising as Cachet Peintres Décorateurs can be a considered the BRAND that represents 9500-5609 Quebec Inc, but in forms communicated to the client or potential client, this number should figure somewhere to signify that they are interacting with 9500-5609 Quebec Inc as the source of the agreement.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And Régie du Bâtiment ID: 5839 8736 01 - No exceptions for any service requiring modification of a building in Quebec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These must be displayed and legible, but can be less visible than all other text.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Example: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2832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In the case of this example, the Registre des Entreprise # can be part of the text reply or displayed as a footnote the same way as the RBQ #.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